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60"/>
      </w:pPr>
      <w:r>
        <w:rPr>
          <w:rFonts w:ascii="맑은 고딕" w:eastAsia="맑은 고딕" w:hAnsi="맑은 고딕" w:cs="맑은 고딕"/>
          <w:color w:val="595959"/>
          <w:sz w:val="20"/>
          <w:szCs w:val="20"/>
        </w:rPr>
        <w:t>2026학년도 2학기</w:t>
      </w:r>
    </w:p>
    <w:p>
      <w:pPr>
        <w:jc w:val="center"/>
        <w:pBdr>
          <w:bottom w:val="single" w:sz="18" w:space="8" w:color="1F3864"/>
        </w:pBdr>
        <w:spacing w:after="200"/>
      </w:pPr>
      <w:r>
        <w:rPr>
          <w:rFonts w:ascii="맑은 고딕" w:eastAsia="맑은 고딕" w:hAnsi="맑은 고딕" w:cs="맑은 고딕"/>
          <w:b/>
          <w:bCs/>
          <w:color w:val="1F3864"/>
          <w:sz w:val="40"/>
          <w:szCs w:val="40"/>
        </w:rPr>
        <w:t xml:space="preserve">제18차 </w:t>
      </w:r>
      <w:r>
        <w:rPr>
          <w:rFonts w:ascii="맑은 고딕" w:eastAsia="맑은 고딕" w:hAnsi="맑은 고딕" w:cs="맑은 고딕"/>
          <w:b/>
          <w:bCs/>
          <w:color w:val="2E74B5"/>
          <w:sz w:val="40"/>
          <w:szCs w:val="40"/>
        </w:rPr>
        <w:t>Capstone Design Fair</w:t>
      </w:r>
      <w:r>
        <w:rPr>
          <w:rFonts w:ascii="맑은 고딕" w:eastAsia="맑은 고딕" w:hAnsi="맑은 고딕" w:cs="맑은 고딕"/>
          <w:b/>
          <w:bCs/>
          <w:color w:val="1F3864"/>
          <w:sz w:val="40"/>
          <w:szCs w:val="40"/>
        </w:rPr>
        <w:t xml:space="preserve"> 운영계획</w:t>
      </w:r>
    </w:p>
    <w:p>
      <w:pPr>
        <w:pBdr>
          <w:bottom w:val="single" w:sz="6" w:space="4" w:color="2E74B5"/>
        </w:pBdr>
        <w:spacing w:after="140" w:before="30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1.</w:t>
      </w: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 xml:space="preserve">  행사목적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공학교육혁신을 통한 창의력 및 시스템 통합설계 능력을 갖춘 공학기술인력 양성과 창의적 공학교육 확산의 계기를 마련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창의적 종합설계 성과 확산 및 공과대학생의 학습의욕과 자긍심을 고취시키고자 함</w:t>
      </w:r>
    </w:p>
    <w:p>
      <w:pPr>
        <w:pBdr>
          <w:bottom w:val="single" w:sz="6" w:space="4" w:color="2E74B5"/>
        </w:pBdr>
        <w:spacing w:after="140" w:before="30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2.</w:t>
      </w: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 xml:space="preserve">  행사개요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일시: 2026년 11월 26일(목) ~ 11월 27일(금)  ※ 진행 순서 추후 공지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행사 및 전시 장소: 신소재공학관 1층 로비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본선심사: 2026년 11월 27일(금) 13:30 ~ 16:30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행사주관: 공과대학 공학교육혁신센터, 한양대학교 SEOUL RISE 사업</w:t>
      </w:r>
    </w:p>
    <w:p>
      <w:pPr>
        <w:pBdr>
          <w:bottom w:val="single" w:sz="6" w:space="4" w:color="2E74B5"/>
        </w:pBdr>
        <w:spacing w:after="140" w:before="30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3.</w:t>
      </w: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 xml:space="preserve">  참가대상 및 방법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참가대상</w:t>
      </w:r>
    </w:p>
    <w:p>
      <w:pPr>
        <w:ind w:left="620" w:hanging="200"/>
        <w:spacing w:after="60"/>
      </w:pPr>
      <w:r>
        <w:rPr>
          <w:rFonts w:ascii="맑은 고딕" w:eastAsia="맑은 고딕" w:hAnsi="맑은 고딕" w:cs="맑은 고딕"/>
          <w:color w:val="595959"/>
          <w:sz w:val="20"/>
          <w:szCs w:val="20"/>
        </w:rPr>
        <w:t xml:space="preserve">-  </w:t>
      </w:r>
      <w:r>
        <w:rPr>
          <w:rFonts w:ascii="맑은 고딕" w:eastAsia="맑은 고딕" w:hAnsi="맑은 고딕" w:cs="맑은 고딕"/>
          <w:color w:val="222222"/>
          <w:sz w:val="20"/>
          <w:szCs w:val="20"/>
        </w:rPr>
        <w:t>① 공과대학 재학생 중 2026년 1, 2학기 종합설계 수강학생 팀</w:t>
      </w:r>
    </w:p>
    <w:p>
      <w:pPr>
        <w:ind w:left="620" w:hanging="200"/>
        <w:spacing w:after="60"/>
      </w:pPr>
      <w:r>
        <w:rPr>
          <w:rFonts w:ascii="맑은 고딕" w:eastAsia="맑은 고딕" w:hAnsi="맑은 고딕" w:cs="맑은 고딕"/>
          <w:color w:val="595959"/>
          <w:sz w:val="20"/>
          <w:szCs w:val="20"/>
        </w:rPr>
        <w:t xml:space="preserve">-  </w:t>
      </w:r>
      <w:r>
        <w:rPr>
          <w:rFonts w:ascii="맑은 고딕" w:eastAsia="맑은 고딕" w:hAnsi="맑은 고딕" w:cs="맑은 고딕"/>
          <w:color w:val="222222"/>
          <w:sz w:val="20"/>
          <w:szCs w:val="20"/>
        </w:rPr>
        <w:t>② 졸업작품을 제작하는 팀</w:t>
      </w:r>
    </w:p>
    <w:p>
      <w:pPr>
        <w:ind w:left="620"/>
        <w:spacing w:after="40"/>
      </w:pPr>
      <w:r>
        <w:rPr>
          <w:rFonts w:ascii="맑은 고딕" w:eastAsia="맑은 고딕" w:hAnsi="맑은 고딕" w:cs="맑은 고딕"/>
          <w:i/>
          <w:iCs/>
          <w:color w:val="595959"/>
          <w:sz w:val="20"/>
          <w:szCs w:val="20"/>
        </w:rPr>
        <w:t>* 팀은 2인 이상으로 이루어진 경우만 인정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참가방법: 구글 폼을 통한 신청서 작성 및 제출자료 첨부</w:t>
      </w:r>
    </w:p>
    <w:p>
      <w:pPr>
        <w:ind w:left="620" w:hanging="200"/>
        <w:spacing w:after="60"/>
      </w:pPr>
      <w:r>
        <w:rPr>
          <w:rFonts w:ascii="맑은 고딕" w:eastAsia="맑은 고딕" w:hAnsi="맑은 고딕" w:cs="맑은 고딕"/>
          <w:color w:val="595959"/>
          <w:sz w:val="20"/>
          <w:szCs w:val="20"/>
        </w:rPr>
        <w:t xml:space="preserve">-  </w:t>
      </w:r>
      <w:r>
        <w:rPr>
          <w:rFonts w:ascii="맑은 고딕" w:eastAsia="맑은 고딕" w:hAnsi="맑은 고딕" w:cs="맑은 고딕"/>
          <w:color w:val="222222"/>
          <w:sz w:val="20"/>
          <w:szCs w:val="20"/>
        </w:rPr>
        <w:t>제출자료 ①~②는 구글폼으로 제출, 제출자료 ③은 웹하드에 직접 업로드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제출자료</w:t>
      </w:r>
    </w:p>
    <w:p>
      <w:pPr>
        <w:ind w:left="620" w:hanging="200"/>
        <w:spacing w:after="60"/>
      </w:pPr>
      <w:r>
        <w:rPr>
          <w:rFonts w:ascii="맑은 고딕" w:eastAsia="맑은 고딕" w:hAnsi="맑은 고딕" w:cs="맑은 고딕"/>
          <w:color w:val="595959"/>
          <w:sz w:val="20"/>
          <w:szCs w:val="20"/>
        </w:rPr>
        <w:t xml:space="preserve">-  </w:t>
      </w:r>
      <w:r>
        <w:rPr>
          <w:rFonts w:ascii="맑은 고딕" w:eastAsia="맑은 고딕" w:hAnsi="맑은 고딕" w:cs="맑은 고딕"/>
          <w:color w:val="222222"/>
          <w:sz w:val="20"/>
          <w:szCs w:val="20"/>
        </w:rPr>
        <w:t>① 참가신청서 (첨부양식 사용)</w:t>
      </w:r>
    </w:p>
    <w:p>
      <w:pPr>
        <w:ind w:left="620" w:hanging="200"/>
        <w:spacing w:after="60"/>
      </w:pPr>
      <w:r>
        <w:rPr>
          <w:rFonts w:ascii="맑은 고딕" w:eastAsia="맑은 고딕" w:hAnsi="맑은 고딕" w:cs="맑은 고딕"/>
          <w:color w:val="595959"/>
          <w:sz w:val="20"/>
          <w:szCs w:val="20"/>
        </w:rPr>
        <w:t xml:space="preserve">-  </w:t>
      </w:r>
      <w:r>
        <w:rPr>
          <w:rFonts w:ascii="맑은 고딕" w:eastAsia="맑은 고딕" w:hAnsi="맑은 고딕" w:cs="맑은 고딕"/>
          <w:color w:val="222222"/>
          <w:sz w:val="20"/>
          <w:szCs w:val="20"/>
        </w:rPr>
        <w:t>② 예선 심사자료 (첨부양식 사용, PPT 구성내용으로 작성, 발표녹음 첨부)</w:t>
      </w:r>
    </w:p>
    <w:p>
      <w:pPr>
        <w:ind w:left="620" w:hanging="200"/>
        <w:spacing w:after="60"/>
      </w:pPr>
      <w:r>
        <w:rPr>
          <w:rFonts w:ascii="맑은 고딕" w:eastAsia="맑은 고딕" w:hAnsi="맑은 고딕" w:cs="맑은 고딕"/>
          <w:color w:val="595959"/>
          <w:sz w:val="20"/>
          <w:szCs w:val="20"/>
        </w:rPr>
        <w:t xml:space="preserve">-  </w:t>
      </w:r>
      <w:r>
        <w:rPr>
          <w:rFonts w:ascii="맑은 고딕" w:eastAsia="맑은 고딕" w:hAnsi="맑은 고딕" w:cs="맑은 고딕"/>
          <w:color w:val="222222"/>
          <w:sz w:val="20"/>
          <w:szCs w:val="20"/>
        </w:rPr>
        <w:t>③ 전시 포스터 (첨부양식 사용): 예선 심사자료 구성내용으로 포스터 작성</w:t>
      </w:r>
    </w:p>
    <w:p>
      <w:pPr>
        <w:ind w:left="340"/>
        <w:spacing w:after="40" w:before="120"/>
      </w:pPr>
      <w:r>
        <w:rPr>
          <w:rFonts w:ascii="맑은 고딕" w:eastAsia="맑은 고딕" w:hAnsi="맑은 고딕" w:cs="맑은 고딕"/>
          <w:b/>
          <w:bCs/>
          <w:color w:val="1F3864"/>
          <w:sz w:val="21"/>
          <w:szCs w:val="21"/>
        </w:rPr>
        <w:t>제출기한</w:t>
      </w:r>
    </w:p>
    <w:tbl>
      <w:tblPr>
        <w:tblW w:w="96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200"/>
        <w:gridCol w:w="4126"/>
        <w:gridCol w:w="3353"/>
      </w:tblGrid>
      <w:tr>
        <w:trPr>
          <w:tblHeader/>
        </w:trPr>
        <w:tc>
          <w:tcPr>
            <w:tcW w:w="22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4126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0"/>
                <w:szCs w:val="20"/>
              </w:rPr>
              <w:t>제출기한</w:t>
            </w:r>
          </w:p>
        </w:tc>
        <w:tc>
          <w:tcPr>
            <w:tcW w:w="3353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0"/>
                <w:szCs w:val="20"/>
              </w:rPr>
              <w:t>제출방법</w:t>
            </w:r>
          </w:p>
        </w:tc>
      </w:tr>
      <w:tr>
        <w:tc>
          <w:tcPr>
            <w:tcW w:w="2200" w:type="dxa"/>
            <w:shd w:val="clear" w:color="auto" w:fill="EAF1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제출자료 ①~②</w:t>
            </w:r>
          </w:p>
        </w:tc>
        <w:tc>
          <w:tcPr>
            <w:tcW w:w="412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C00000"/>
                <w:sz w:val="20"/>
                <w:szCs w:val="20"/>
              </w:rPr>
              <w:t>2026년 11월 13일(금) 11:00까지</w:t>
            </w:r>
          </w:p>
        </w:tc>
        <w:tc>
          <w:tcPr>
            <w:tcW w:w="3353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구글폼(Google Forms) 제출</w:t>
            </w:r>
          </w:p>
        </w:tc>
      </w:tr>
      <w:tr>
        <w:tc>
          <w:tcPr>
            <w:tcW w:w="2200" w:type="dxa"/>
            <w:shd w:val="clear" w:color="auto" w:fill="EAF1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제출자료 ③</w:t>
            </w:r>
          </w:p>
        </w:tc>
        <w:tc>
          <w:tcPr>
            <w:tcW w:w="4126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C00000"/>
                <w:sz w:val="20"/>
                <w:szCs w:val="20"/>
              </w:rPr>
              <w:t>2026년 11월 13일(금) 11:00까지</w:t>
            </w:r>
          </w:p>
        </w:tc>
        <w:tc>
          <w:tcPr>
            <w:tcW w:w="3353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웹하드 직접 업로드</w:t>
            </w:r>
          </w:p>
        </w:tc>
      </w:tr>
    </w:tbl>
    <w:p>
      <w:pPr>
        <w:ind w:left="340"/>
        <w:spacing w:after="40" w:before="120"/>
      </w:pPr>
      <w:r>
        <w:rPr>
          <w:rFonts w:ascii="맑은 고딕" w:eastAsia="맑은 고딕" w:hAnsi="맑은 고딕" w:cs="맑은 고딕"/>
          <w:color w:val="222222"/>
          <w:sz w:val="20"/>
          <w:szCs w:val="20"/>
        </w:rPr>
        <w:t xml:space="preserve">구글폼 제출 링크: </w:t>
      </w:r>
      <w:r>
        <w:fldChar w:fldCharType="begin"/>
      </w:r>
      <w:r>
        <w:instrText xml:space="preserve"> HYPERLINK "https://forms.gle/JWe9dXyY9EkfYbVHA" </w:instrText>
      </w:r>
      <w:r>
        <w:fldChar w:fldCharType="separate"/>
      </w:r>
      <w:r>
        <w:rPr>
          <w:rStyle w:val="Hyperlink"/>
          <w:rFonts w:ascii="맑은 고딕" w:eastAsia="맑은 고딕" w:hAnsi="맑은 고딕" w:cs="Arial" w:hint="default"/>
        </w:rPr>
        <w:t>https://forms.gle/JWe9dXyY9EkfYbVHA</w:t>
      </w:r>
      <w:r>
        <w:fldChar w:fldCharType="end"/>
      </w:r>
    </w:p>
    <w:p>
      <w:pPr>
        <w:ind w:left="620"/>
        <w:spacing w:after="40"/>
      </w:pPr>
      <w:r>
        <w:rPr>
          <w:rFonts w:ascii="맑은 고딕" w:eastAsia="맑은 고딕" w:hAnsi="맑은 고딕" w:cs="맑은 고딕"/>
          <w:color w:val="595959"/>
          <w:sz w:val="19"/>
          <w:szCs w:val="19"/>
        </w:rPr>
        <w:t>※ 웹하드 주소: (포스터 작성 안내</w:t>
      </w:r>
      <w:r>
        <w:rPr>
          <w:lang w:eastAsia="ko-KR"/>
          <w:rFonts w:ascii="맑은 고딕" w:eastAsia="맑은 고딕" w:hAnsi="맑은 고딕" w:cs="맑은 고딕"/>
          <w:color w:val="595959"/>
          <w:sz w:val="19"/>
          <w:szCs w:val="19"/>
          <w:rtl w:val="off"/>
        </w:rPr>
        <w:t>문</w:t>
      </w:r>
      <w:r>
        <w:rPr>
          <w:rFonts w:ascii="맑은 고딕" w:eastAsia="맑은 고딕" w:hAnsi="맑은 고딕" w:cs="맑은 고딕"/>
          <w:color w:val="595959"/>
          <w:sz w:val="19"/>
          <w:szCs w:val="19"/>
        </w:rPr>
        <w:t xml:space="preserve"> 참조)</w:t>
      </w:r>
    </w:p>
    <w:p>
      <w:pPr>
        <w:ind w:left="340"/>
        <w:shd w:val="clear" w:color="auto" w:fill="FFF2CC"/>
        <w:spacing w:after="60" w:before="60"/>
      </w:pPr>
      <w:r>
        <w:rPr>
          <w:rFonts w:ascii="맑은 고딕" w:eastAsia="맑은 고딕" w:hAnsi="맑은 고딕" w:cs="맑은 고딕"/>
          <w:i/>
          <w:iCs/>
          <w:color w:val="7F6000"/>
          <w:sz w:val="19"/>
          <w:szCs w:val="19"/>
        </w:rPr>
        <w:t>* 원활한 행사 진행을 위해 제출 자료가 완료된 경우 빠른 신청 접수를 부탁드립니다.</w:t>
      </w:r>
    </w:p>
    <w:p>
      <w:pPr>
        <w:pBdr>
          <w:bottom w:val="single" w:sz="6" w:space="4" w:color="2E74B5"/>
        </w:pBdr>
        <w:spacing w:after="140" w:before="30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4.</w:t>
      </w: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 xml:space="preserve">  심사기준</w:t>
      </w:r>
    </w:p>
    <w:p>
      <w:pPr>
        <w:spacing w:after="100"/>
      </w:pPr>
    </w:p>
    <w:tbl>
      <w:tblPr>
        <w:tblW w:w="98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400"/>
        <w:gridCol w:w="7480"/>
      </w:tblGrid>
      <w:tr>
        <w:trPr>
          <w:tblHeader/>
        </w:trPr>
        <w:tc>
          <w:tcPr>
            <w:tcW w:w="24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748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0"/>
                <w:szCs w:val="20"/>
              </w:rPr>
              <w:t>심사방법</w:t>
            </w:r>
          </w:p>
        </w:tc>
      </w:tr>
      <w:tr>
        <w:tc>
          <w:tcPr>
            <w:tcW w:w="2400" w:type="dxa"/>
            <w:shd w:val="clear" w:color="auto" w:fill="EAF1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예선 심사</w:t>
            </w:r>
          </w:p>
        </w:tc>
        <w:tc>
          <w:tcPr>
            <w:tcW w:w="748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left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PPT 발표자료 기반으로 본선 작품 선정</w:t>
            </w:r>
          </w:p>
        </w:tc>
      </w:tr>
      <w:tr>
        <w:tc>
          <w:tcPr>
            <w:tcW w:w="2400" w:type="dxa"/>
            <w:shd w:val="clear" w:color="auto" w:fill="EAF1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본선 심사</w:t>
            </w:r>
          </w:p>
        </w:tc>
        <w:tc>
          <w:tcPr>
            <w:tcW w:w="748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left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현장에서 작품소개 및 질의응답(5분 내외)</w:t>
            </w:r>
          </w:p>
        </w:tc>
      </w:tr>
      <w:tr>
        <w:tc>
          <w:tcPr>
            <w:tcW w:w="2400" w:type="dxa"/>
            <w:shd w:val="clear" w:color="auto" w:fill="EAF1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예선 심사기준(80)</w:t>
            </w:r>
          </w:p>
        </w:tc>
        <w:tc>
          <w:tcPr>
            <w:tcW w:w="748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left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창의성 및 기획성(30)</w:t>
            </w:r>
          </w:p>
          <w:p>
            <w:pPr>
              <w:jc w:val="left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기술성 및 완성도(25)</w:t>
            </w:r>
          </w:p>
          <w:p>
            <w:pPr>
              <w:jc w:val="left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사회기여 및 사업화가능성(20)</w:t>
            </w:r>
          </w:p>
          <w:p>
            <w:pPr>
              <w:jc w:val="left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팀구성 및 협력(5)</w:t>
            </w:r>
          </w:p>
        </w:tc>
      </w:tr>
      <w:tr>
        <w:tc>
          <w:tcPr>
            <w:tcW w:w="2400" w:type="dxa"/>
            <w:shd w:val="clear" w:color="auto" w:fill="EAF1FB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본선 심사기준(20)</w:t>
            </w:r>
          </w:p>
        </w:tc>
        <w:tc>
          <w:tcPr>
            <w:tcW w:w="748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left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종합평가(20)</w:t>
            </w:r>
          </w:p>
          <w:p>
            <w:pPr>
              <w:jc w:val="left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(발표력 및 질의응답의 우수성,</w:t>
            </w:r>
          </w:p>
          <w:p>
            <w:pPr>
              <w:jc w:val="left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작품의 전시효과 및 홍보효과)</w:t>
            </w:r>
          </w:p>
        </w:tc>
      </w:tr>
    </w:tbl>
    <w:p>
      <w:pPr>
        <w:ind w:left="620"/>
        <w:spacing w:after="40"/>
      </w:pPr>
      <w:r>
        <w:rPr>
          <w:rFonts w:ascii="맑은 고딕" w:eastAsia="맑은 고딕" w:hAnsi="맑은 고딕" w:cs="맑은 고딕"/>
          <w:i/>
          <w:iCs/>
          <w:color w:val="C00000"/>
          <w:sz w:val="20"/>
          <w:szCs w:val="20"/>
        </w:rPr>
        <w:t>* 본선에서 발표하지 않은 팀은 수상에서 제외함</w:t>
      </w:r>
    </w:p>
    <w:p>
      <w:pPr>
        <w:pBdr>
          <w:bottom w:val="single" w:sz="6" w:space="4" w:color="2E74B5"/>
        </w:pBdr>
        <w:spacing w:after="140" w:before="30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5.</w:t>
      </w: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 xml:space="preserve">  시상식 및 시상 내역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시상식: 2026년 11월 27일(금) 오후 예정  ※ 시간은 추후 공지</w:t>
      </w:r>
    </w:p>
    <w:tbl>
      <w:tblPr>
        <w:tblW w:w="984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  <w:tblCellMar>
          <w:top w:w="56" w:type="dxa"/>
          <w:left w:w="108" w:type="dxa"/>
          <w:bottom w:w="0" w:type="dxa"/>
          <w:right w:w="108" w:type="dxa"/>
        </w:tblCellMar>
      </w:tblPr>
      <w:tblGrid>
        <w:gridCol w:w="2600"/>
        <w:gridCol w:w="2949"/>
        <w:gridCol w:w="4290"/>
      </w:tblGrid>
      <w:tr>
        <w:trPr>
          <w:tblHeader/>
        </w:trPr>
        <w:tc>
          <w:tcPr>
            <w:tcW w:w="26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0"/>
                <w:szCs w:val="20"/>
              </w:rPr>
              <w:t>구분</w:t>
            </w:r>
          </w:p>
        </w:tc>
        <w:tc>
          <w:tcPr>
            <w:tcW w:w="2949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0"/>
                <w:szCs w:val="20"/>
              </w:rPr>
              <w:t>장학금</w:t>
            </w:r>
          </w:p>
        </w:tc>
        <w:tc>
          <w:tcPr>
            <w:tcW w:w="429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FFFFFF"/>
                <w:sz w:val="20"/>
                <w:szCs w:val="20"/>
              </w:rPr>
              <w:t>상장</w:t>
            </w:r>
          </w:p>
        </w:tc>
      </w:tr>
      <w:tr>
        <w:tc>
          <w:tcPr>
            <w:tcW w:w="2600" w:type="dxa"/>
            <w:shd w:val="clear" w:color="auto" w:fill="FFF2CC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대상 (1팀)</w:t>
            </w:r>
          </w:p>
        </w:tc>
        <w:tc>
          <w:tcPr>
            <w:tcW w:w="2949" w:type="dxa"/>
            <w:shd w:val="clear" w:color="auto" w:fill="FFF2CC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3,000,000원</w:t>
            </w:r>
          </w:p>
        </w:tc>
        <w:tc>
          <w:tcPr>
            <w:tcW w:w="4290" w:type="dxa"/>
            <w:shd w:val="clear" w:color="auto" w:fill="FFF2CC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총장</w:t>
            </w:r>
          </w:p>
        </w:tc>
      </w:tr>
      <w:tr>
        <w:tc>
          <w:tcPr>
            <w:tcW w:w="260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최우수상 (2팀)</w:t>
            </w:r>
          </w:p>
        </w:tc>
        <w:tc>
          <w:tcPr>
            <w:tcW w:w="2949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1,000,000원</w:t>
            </w:r>
          </w:p>
        </w:tc>
        <w:tc>
          <w:tcPr>
            <w:tcW w:w="429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공과대학장</w:t>
            </w:r>
          </w:p>
        </w:tc>
      </w:tr>
      <w:tr>
        <w:tc>
          <w:tcPr>
            <w:tcW w:w="2600" w:type="dxa"/>
            <w:shd w:val="clear" w:color="auto" w:fill="FFF2CC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우수상 (5팀)</w:t>
            </w:r>
          </w:p>
        </w:tc>
        <w:tc>
          <w:tcPr>
            <w:tcW w:w="2949" w:type="dxa"/>
            <w:shd w:val="clear" w:color="auto" w:fill="FFF2CC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500,000원</w:t>
            </w:r>
          </w:p>
        </w:tc>
        <w:tc>
          <w:tcPr>
            <w:tcW w:w="4290" w:type="dxa"/>
            <w:shd w:val="clear" w:color="auto" w:fill="FFF2CC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공과대학장</w:t>
            </w:r>
          </w:p>
        </w:tc>
      </w:tr>
      <w:tr>
        <w:tc>
          <w:tcPr>
            <w:tcW w:w="260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0"/>
                <w:szCs w:val="20"/>
              </w:rPr>
              <w:t>장려상 (5팀)</w:t>
            </w:r>
          </w:p>
        </w:tc>
        <w:tc>
          <w:tcPr>
            <w:tcW w:w="2949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300,000원</w:t>
            </w:r>
          </w:p>
        </w:tc>
        <w:tc>
          <w:tcPr>
            <w:tcW w:w="4290" w:type="dxa"/>
            <w:shd w:val="clear" w:color="auto" w:fill="FFFFFF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>
            <w:pPr>
              <w:jc w:val="center"/>
              <w:spacing w:after="20"/>
            </w:pPr>
            <w:r>
              <w:rPr>
                <w:rFonts w:ascii="맑은 고딕" w:eastAsia="맑은 고딕" w:hAnsi="맑은 고딕" w:cs="맑은 고딕"/>
                <w:b w:val="0"/>
                <w:bCs w:val="0"/>
                <w:color w:val="222222"/>
                <w:sz w:val="20"/>
                <w:szCs w:val="20"/>
              </w:rPr>
              <w:t>공학교육혁신센터장</w:t>
            </w:r>
          </w:p>
        </w:tc>
      </w:tr>
      <w:tr>
        <w:trPr>
          <w:trHeight w:val="446" w:hRule="atLeast"/>
        </w:trPr>
        <w:tc>
          <w:tcPr>
            <w:tcW w:w="2600" w:type="dxa"/>
            <w:shd w:val="clear" w:color="auto" w:fill="FFFFFF"/>
            <w:tcMar>
              <w:top w:w="56" w:type="dxa"/>
            </w:tcMar>
          </w:tcPr>
          <w:p>
            <w:pPr>
              <w:jc w:val="center"/>
              <w:spacing w:after="20"/>
              <w:rPr>
                <w:b/>
                <w:bCs/>
              </w:rPr>
            </w:pPr>
            <w:r>
              <w:rPr>
                <w:lang w:eastAsia="ko-KR"/>
                <w:b/>
                <w:bCs/>
                <w:rtl w:val="off"/>
              </w:rPr>
              <w:t>차세대공학자 최우수상</w:t>
            </w:r>
          </w:p>
        </w:tc>
        <w:tc>
          <w:tcPr>
            <w:tcW w:w="2949" w:type="dxa"/>
            <w:shd w:val="clear" w:color="auto" w:fill="FFFFFF"/>
            <w:tcMar>
              <w:top w:w="56" w:type="dxa"/>
            </w:tcMar>
          </w:tcPr>
          <w:p>
            <w:pPr>
              <w:jc w:val="center"/>
              <w:spacing w:after="20"/>
            </w:pPr>
            <w:r>
              <w:rPr>
                <w:lang w:eastAsia="ko-KR"/>
                <w:rtl w:val="off"/>
              </w:rPr>
              <w:t>추후 안내</w:t>
            </w:r>
          </w:p>
        </w:tc>
        <w:tc>
          <w:tcPr>
            <w:tcW w:w="4290" w:type="dxa"/>
            <w:shd w:val="clear" w:color="auto" w:fill="FFFFFF"/>
            <w:tcMar>
              <w:top w:w="56" w:type="dxa"/>
            </w:tcMar>
          </w:tcPr>
          <w:p>
            <w:pPr>
              <w:jc w:val="center"/>
              <w:spacing w:after="20"/>
            </w:pPr>
            <w:r>
              <w:rPr>
                <w:lang w:eastAsia="ko-KR"/>
                <w:rtl w:val="off"/>
              </w:rPr>
              <w:t>공학교육혁신센터장</w:t>
            </w:r>
          </w:p>
        </w:tc>
      </w:tr>
      <w:tr>
        <w:trPr>
          <w:trHeight w:val="446" w:hRule="atLeast"/>
        </w:trPr>
        <w:tc>
          <w:tcPr>
            <w:tcW w:w="2600" w:type="dxa"/>
            <w:shd w:val="clear" w:color="auto" w:fill="FFFFFF"/>
            <w:tcMar>
              <w:top w:w="56" w:type="dxa"/>
            </w:tcMar>
          </w:tcPr>
          <w:p>
            <w:pPr>
              <w:jc w:val="center"/>
              <w:spacing w:after="20"/>
              <w:rPr>
                <w:b/>
                <w:bCs/>
              </w:rPr>
            </w:pPr>
            <w:r>
              <w:rPr>
                <w:lang w:eastAsia="ko-KR"/>
                <w:b/>
                <w:bCs/>
                <w:rtl w:val="off"/>
              </w:rPr>
              <w:t>차세대공학자 우수상</w:t>
            </w:r>
          </w:p>
        </w:tc>
        <w:tc>
          <w:tcPr>
            <w:tcW w:w="2949" w:type="dxa"/>
            <w:shd w:val="clear" w:color="auto" w:fill="FFFFFF"/>
            <w:tcMar>
              <w:top w:w="56" w:type="dxa"/>
            </w:tcMar>
          </w:tcPr>
          <w:p>
            <w:pPr>
              <w:jc w:val="center"/>
              <w:spacing w:after="20"/>
            </w:pPr>
            <w:r>
              <w:rPr>
                <w:lang w:eastAsia="ko-KR"/>
                <w:rtl w:val="off"/>
              </w:rPr>
              <w:t>추후 안내</w:t>
            </w:r>
          </w:p>
        </w:tc>
        <w:tc>
          <w:tcPr>
            <w:tcW w:w="4290" w:type="dxa"/>
            <w:shd w:val="clear" w:color="auto" w:fill="FFFFFF"/>
            <w:tcMar>
              <w:top w:w="56" w:type="dxa"/>
            </w:tcMar>
          </w:tcPr>
          <w:p>
            <w:pPr>
              <w:jc w:val="center"/>
              <w:spacing w:after="20"/>
            </w:pPr>
            <w:r>
              <w:rPr>
                <w:lang w:eastAsia="ko-KR"/>
                <w:rtl w:val="off"/>
              </w:rPr>
              <w:t>공학교육혁신센터장</w:t>
            </w:r>
          </w:p>
        </w:tc>
      </w:tr>
    </w:tbl>
    <w:p>
      <w:pPr>
        <w:pBdr>
          <w:bottom w:val="single" w:sz="6" w:space="4" w:color="2E74B5"/>
        </w:pBdr>
        <w:spacing w:after="140" w:before="300"/>
      </w:pP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>6.</w:t>
      </w:r>
      <w:r>
        <w:rPr>
          <w:rFonts w:ascii="맑은 고딕" w:eastAsia="맑은 고딕" w:hAnsi="맑은 고딕" w:cs="맑은 고딕"/>
          <w:b/>
          <w:bCs/>
          <w:color w:val="1F3864"/>
          <w:sz w:val="24"/>
          <w:szCs w:val="24"/>
        </w:rPr>
        <w:t xml:space="preserve">  전시물 관리</w:t>
      </w:r>
    </w:p>
    <w:p>
      <w:pPr>
        <w:ind w:left="340" w:hanging="200"/>
        <w:spacing w:after="60"/>
      </w:pPr>
      <w:r>
        <w:rPr>
          <w:rFonts w:ascii="맑은 고딕" w:eastAsia="맑은 고딕" w:hAnsi="맑은 고딕" w:cs="맑은 고딕"/>
          <w:b/>
          <w:bCs/>
          <w:color w:val="2E74B5"/>
          <w:sz w:val="21"/>
          <w:szCs w:val="21"/>
        </w:rPr>
        <w:t xml:space="preserve">•  </w:t>
      </w:r>
      <w:r>
        <w:rPr>
          <w:rFonts w:ascii="맑은 고딕" w:eastAsia="맑은 고딕" w:hAnsi="맑은 고딕" w:cs="맑은 고딕"/>
          <w:color w:val="222222"/>
          <w:sz w:val="21"/>
          <w:szCs w:val="21"/>
        </w:rPr>
        <w:t>전시물에 대한 설치, 유지, 보수 및 철거는 제출자가 책임져야 함</w:t>
      </w:r>
    </w:p>
    <w:p>
      <w:pPr>
        <w:ind w:left="620" w:hanging="200"/>
        <w:spacing w:after="60"/>
      </w:pPr>
      <w:r>
        <w:rPr>
          <w:rFonts w:ascii="맑은 고딕" w:eastAsia="맑은 고딕" w:hAnsi="맑은 고딕" w:cs="맑은 고딕"/>
          <w:color w:val="595959"/>
          <w:sz w:val="20"/>
          <w:szCs w:val="20"/>
        </w:rPr>
        <w:t xml:space="preserve">-  </w:t>
      </w:r>
      <w:r>
        <w:rPr>
          <w:rFonts w:ascii="맑은 고딕" w:eastAsia="맑은 고딕" w:hAnsi="맑은 고딕" w:cs="맑은 고딕"/>
          <w:color w:val="222222"/>
          <w:sz w:val="20"/>
          <w:szCs w:val="20"/>
        </w:rPr>
        <w:t>전시물 설치: 11월 27일(금) 10:00까지</w:t>
      </w:r>
    </w:p>
    <w:p>
      <w:pPr>
        <w:ind w:left="620" w:hanging="200"/>
        <w:spacing w:after="60"/>
      </w:pPr>
      <w:r>
        <w:rPr>
          <w:rFonts w:ascii="맑은 고딕" w:eastAsia="맑은 고딕" w:hAnsi="맑은 고딕" w:cs="맑은 고딕"/>
          <w:color w:val="595959"/>
          <w:sz w:val="20"/>
          <w:szCs w:val="20"/>
        </w:rPr>
        <w:t xml:space="preserve">-  </w:t>
      </w:r>
      <w:r>
        <w:rPr>
          <w:rFonts w:ascii="맑은 고딕" w:eastAsia="맑은 고딕" w:hAnsi="맑은 고딕" w:cs="맑은 고딕"/>
          <w:color w:val="222222"/>
          <w:sz w:val="20"/>
          <w:szCs w:val="20"/>
        </w:rPr>
        <w:t>전시물 철거: 11월 27일(금) 16:30까지</w:t>
      </w:r>
    </w:p>
    <w:sectPr>
      <w:pgSz w:w="11906" w:h="16838"/>
      <w:pgMar w:top="1000" w:right="1100" w:bottom="1000" w:left="1100" w:header="708" w:footer="708" w:gutter="0"/>
      <w:cols/>
      <w:docGrid w:linePitch="360"/>
      <w:headerReference w:type="default" r:id="rId1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Arial">
    <w:panose1 w:val="020B0604020202020204"/>
    <w:notTrueType w:val="false"/>
    <w:sig w:usb0="7FFFFFFF" w:usb1="7FFFFFFF" w:usb2="00000009" w:usb3="00000001" w:csb0="400001FF" w:csb1="7FFFFFFF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맑은 고딕" w:eastAsia="맑은 고딕" w:hAnsi="맑은 고딕" w:cs="맑은 고딕"/>
        <w:color w:val="595959"/>
        <w:sz w:val="18"/>
        <w:szCs w:val="18"/>
      </w:rPr>
      <w:t xml:space="preserve">- </w:t>
    </w:r>
    <w:r>
      <w:rPr>
        <w:rFonts w:ascii="맑은 고딕" w:eastAsia="맑은 고딕" w:hAnsi="맑은 고딕" w:cs="맑은 고딕"/>
        <w:color w:val="595959"/>
        <w:sz w:val="18"/>
        <w:szCs w:val="18"/>
      </w:rPr>
      <w:fldChar w:fldCharType="begin"/>
    </w:r>
    <w:r>
      <w:rPr>
        <w:rFonts w:ascii="맑은 고딕" w:eastAsia="맑은 고딕" w:hAnsi="맑은 고딕" w:cs="맑은 고딕"/>
        <w:color w:val="595959"/>
        <w:sz w:val="18"/>
        <w:szCs w:val="18"/>
      </w:rPr>
      <w:instrText>PAGE</w:instrText>
    </w:r>
    <w:r>
      <w:rPr>
        <w:rFonts w:ascii="맑은 고딕" w:eastAsia="맑은 고딕" w:hAnsi="맑은 고딕" w:cs="맑은 고딕"/>
        <w:color w:val="595959"/>
        <w:sz w:val="18"/>
        <w:szCs w:val="18"/>
      </w:rPr>
      <w:fldChar w:fldCharType="separate"/>
    </w:r>
    <w:r>
      <w:rPr>
        <w:rFonts w:ascii="맑은 고딕" w:eastAsia="맑은 고딕" w:hAnsi="맑은 고딕" w:cs="맑은 고딕"/>
        <w:color w:val="595959"/>
        <w:sz w:val="18"/>
        <w:szCs w:val="18"/>
      </w:rPr>
      <w:fldChar w:fldCharType="end"/>
    </w:r>
    <w:r>
      <w:rPr>
        <w:rFonts w:ascii="맑은 고딕" w:eastAsia="맑은 고딕" w:hAnsi="맑은 고딕" w:cs="맑은 고딕"/>
        <w:color w:val="595959"/>
        <w:sz w:val="18"/>
        <w:szCs w:val="18"/>
      </w:rPr>
      <w:t xml:space="preserve"> -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  <w:pBdr>
        <w:bottom w:val="single" w:sz="4" w:space="4" w:color="D9D9D9"/>
      </w:pBdr>
    </w:pPr>
    <w:r>
      <w:rPr>
        <w:rFonts w:ascii="맑은 고딕" w:eastAsia="맑은 고딕" w:hAnsi="맑은 고딕" w:cs="맑은 고딕"/>
        <w:color w:val="595959"/>
        <w:sz w:val="16"/>
        <w:szCs w:val="16"/>
      </w:rPr>
      <w:t>한양대학교 공과대학 공학교육혁신센터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displayBackgroundShape/>
  <w:bordersDontSurroundHeader/>
  <w:bordersDontSurroundFooter/>
  <w:hideGrammaticalErrors/>
  <w:proofState w:spelling="clean" w:grammar="clean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/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styleId="Title">
    <w:name w:val="Title"/>
    <w:next w:val="Title"/>
    <w:qFormat/>
    <w:rPr>
      <w:sz w:val="56"/>
      <w:szCs w:val="56"/>
    </w:rPr>
  </w:style>
  <w:style w:type="paragraph" w:customStyle="1" w:styleId="Heading1">
    <w:name w:val="Heading 1"/>
    <w:next w:val="Title"/>
    <w:qFormat/>
    <w:rPr>
      <w:color w:val="2E74B5"/>
      <w:sz w:val="32"/>
      <w:szCs w:val="32"/>
    </w:rPr>
  </w:style>
  <w:style w:type="paragraph" w:customStyle="1" w:styleId="Heading2">
    <w:name w:val="Heading 2"/>
    <w:next w:val="Title"/>
    <w:qFormat/>
    <w:rPr>
      <w:color w:val="2E74B5"/>
      <w:sz w:val="26"/>
      <w:szCs w:val="26"/>
    </w:rPr>
  </w:style>
  <w:style w:type="paragraph" w:customStyle="1" w:styleId="Heading3">
    <w:name w:val="Heading 3"/>
    <w:next w:val="Title"/>
    <w:qFormat/>
    <w:rPr>
      <w:color w:val="1F4D78"/>
      <w:sz w:val="24"/>
      <w:szCs w:val="24"/>
    </w:rPr>
  </w:style>
  <w:style w:type="paragraph" w:customStyle="1" w:styleId="Heading4">
    <w:name w:val="Heading 4"/>
    <w:next w:val="Title"/>
    <w:qFormat/>
    <w:rPr>
      <w:i/>
      <w:iCs/>
      <w:color w:val="2E74B5"/>
    </w:rPr>
  </w:style>
  <w:style w:type="paragraph" w:customStyle="1" w:styleId="Heading5">
    <w:name w:val="Heading 5"/>
    <w:next w:val="Title"/>
    <w:qFormat/>
    <w:rPr>
      <w:color w:val="2E74B5"/>
    </w:rPr>
  </w:style>
  <w:style w:type="paragraph" w:customStyle="1" w:styleId="Heading6">
    <w:name w:val="Heading 6"/>
    <w:next w:val="Title"/>
    <w:qFormat/>
    <w:rPr>
      <w:color w:val="1F4D78"/>
    </w:rPr>
  </w:style>
  <w:style w:type="paragraph" w:styleId="Strong">
    <w:name w:val="Strong"/>
    <w:next w:val="Title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 w:color="auto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uiPriority w:val="99"/>
    <w:link w:val="Foot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uiPriority w:val="99"/>
    <w:link w:val="FootnoteText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uiPriority w:val="99"/>
    <w:link w:val="End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uiPriority w:val="99"/>
    <w:link w:val="EndnoteText"/>
    <w:semiHidden/>
    <w:unhideWhenUsed/>
    <w:rPr>
      <w:sz w:val="20"/>
      <w:szCs w:val="20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HYU</cp:lastModifiedBy>
  <cp:revision>1</cp:revision>
  <dcterms:created xsi:type="dcterms:W3CDTF">2026-09-22T08:20:14Z</dcterms:created>
  <dcterms:modified xsi:type="dcterms:W3CDTF">2026-10-12T06:22:34Z</dcterms:modified>
  <cp:version>1300.0100.01</cp:version>
</cp:coreProperties>
</file>